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f1242b6abcd406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18362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GIMNAZIJA FRANJE PETRIĆA, ZADAR</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1.265.588,57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1.345.082,03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1.260.455,73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1.447.367,56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102.285,53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8.798,81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4.053,04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8.798,81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4.053,04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46,1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3.665,97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106.338,57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2900,7</w:t>
            </w:r>
          </w:p>
        </w:tc>
      </w:tr>
    </w:tbl>
    <w:p>
      <w:pPr>
        <w:spacing w:before="0" w:after="0"/>
      </w:pPr>
    </w:p>
    <w:p>
      <w:r>
        <w:t xml:space="preserve">U razdoblju od 1. siječnja do 31.prosinca 2025. prihodi poslovanja ostvareni su u iznosu od 1.345.082,03 EUR. Najznačajnije povećanje prihoda poslovanja ostvareno je od tekućih donacija jer je u ovoj godini bilo više donacija za maturalni ples nego u prethodnoj godini. Najznačajnije smanjenje prihoda bilježi se na kapitalnim pomoćima proračunskim korisnicima iz proračuna koji im nije nadležan zbog doznačenih sredstava od MZOM za nove udžbenike iz povijesti za 4.razrede u prethodnoj godini. Rashodi poslovanja u razdoblju od 1.siječnja do 31.prosinca 2025.ostvareni su u iznosu 1.447.367,56 EUR .Najznačajnije povećanje rashoda evidentirano je na rashodima za ostale naknade građanima i kućanstvima iz proračuna koji se odnose na sufinanciranje prilagođenog individualnog prijevoza roditelja kao pratitelja dvoje naših učenika u iznosu 719,17 eura i sredstva za sufinanciranje troškova izvanučioničke nastave za učenike raseljene iz Ukrajine u iznosu 530,00 eura. Prošle godine prijevoz se isplaćivao za jednu našu učenicu dok ove godine imamo dvoje učenika. Najznačajnije smanjenje rashoda poslovanja evidentirano je na rashodima za usluge zbog sanacije puknuća vodovodne cijevi, pa su računi za vodu bili manji i zbog smanjenih računa za odvoz otpada u ovoj godini.</w:t>
      </w:r>
    </w:p>
    <w:p>
      <w:r>
        <w:t xml:space="preserve">U navedenom razdoblju nema ostvarenih prihoda od prodaje nefinancijske imovine, dok su rashodi za nabavu nefinancijske imovine ostvareni u iznosu od 4.053,04 EUR. Navedeni rashodi odnose se na nabavu računala, dva klima uređaja, lektira i udžbenika za učenike iz Ukrajine.</w:t>
      </w:r>
    </w:p>
    <w:p>
      <w:r>
        <w:t xml:space="preserve">U navedenom razdoblju nije bilo ostvarenih primitaka i izdataka od financijske imovine i zaduživanja.</w:t>
      </w:r>
    </w:p>
    <w:p>
      <w:r>
        <w:t xml:space="preserve">U razdoblju od 1. siječnja do 31.prosinca 2025. ostvaren je manjak prihoda  poslovanja u iznosu od 102.285,53 EUR i manjak prihoda od nefinancijske imovine u iznosu od 4.053,04 EUR. Na kraju izvještajnog razdoblja ostvaren je ukupan manjak prihoda i primitaka u iznosu od 106.338,57 EUR., a odnosi se na metodološki manjak za troškove nastale u prosincu 2025. (trošak plaće za 12/25., trošak naknade za prijevoz  i režijske troškove za 12/25.), a koji će biti plaćeni u siječnju 2026.godine.</w:t>
      </w:r>
    </w:p>
    <w:p>
      <w:r>
        <w:t xml:space="preserve"> </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1.183.721,50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1.258.336,41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w:t>
            </w:r>
          </w:p>
        </w:tc>
      </w:tr>
    </w:tbl>
    <w:p>
      <w:pPr>
        <w:spacing w:before="0" w:after="0"/>
      </w:pPr>
    </w:p>
    <w:p>
      <w:r>
        <w:t xml:space="preserve">Povećanje u odnosu na prethodnu godinu je na  6361- Tekuće  pomoći proračunskim korisnicima iz proračuna koji im nije nadležan zbog povećanja osnovice za obračun plaće i zbog uplaćenih sredstava od strane MZOM za sufinanciranje troškova rada nastavnika mentora sa pripravnikom, sufinanciranje prilagođenog individualnog prijevoza roditelja kao pratitelja dvoje naših učenika  i za sufinanciranje troškova izvanučioničke nastave za učenike raseljene iz Ukrajine.</w:t>
      </w:r>
    </w:p>
    <w:p>
      <w:r>
        <w:t xml:space="preserve">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433,65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4.818,00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1111,0</w:t>
            </w:r>
          </w:p>
        </w:tc>
      </w:tr>
    </w:tbl>
    <w:p>
      <w:pPr>
        <w:spacing w:before="0" w:after="0"/>
      </w:pPr>
    </w:p>
    <w:p>
      <w:r>
        <w:t xml:space="preserve">Index je u porastu jer je u ovoj godini bilo više donacija  za maturalni ples nego prošle godine.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81.433,42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81.927,62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100,6</w:t>
            </w:r>
          </w:p>
        </w:tc>
      </w:tr>
    </w:tbl>
    <w:p>
      <w:pPr>
        <w:spacing w:before="0" w:after="0"/>
      </w:pPr>
    </w:p>
    <w:p>
      <w:r>
        <w:t xml:space="preserve">Prihodi iz nadležnog proračuna  namijenjeni su  financiranju materijalnih rashoda škole, za ugovorene obveze koje Škola ima, te za nabavu nefinancijske imovine. Index je u blagom porastu u odnosu na prošlu godinu. Prihodi iz nadležnog proračuna za financiranje rashoda za nabavu nefinancijske imovine su manji u odnosu na prošlu godinu zbog manje potrebe za istom u odnosu na prethodnu godinu.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1.174.696,19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1.357.542,55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w:t>
            </w:r>
          </w:p>
        </w:tc>
      </w:tr>
    </w:tbl>
    <w:p>
      <w:pPr>
        <w:spacing w:before="0" w:after="0"/>
      </w:pPr>
    </w:p>
    <w:p>
      <w:r>
        <w:t xml:space="preserve">Povećani su u odnosu na prethodnu godinu zbog povećanja osnovice za obračun place  i zbog novih knjigovodstvenih evidencija od 1.1.2025. Novim Pravilnikom ukinuta je podskupina računa 193 Kontinuirani rashodi budućih razdoblja. Kontinuirani rashodi budućih razdoblja evidentiraju se na odgovarajuće račune razreda 3 rashoda poslovanja.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24.715,99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25.640,75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103,7</w:t>
            </w:r>
          </w:p>
        </w:tc>
      </w:tr>
    </w:tbl>
    <w:p>
      <w:pPr>
        <w:spacing w:before="0" w:after="0"/>
      </w:pPr>
    </w:p>
    <w:p>
      <w:r>
        <w:t xml:space="preserve">Rashodi su veći u odnosu na prethodnu godinu jer se više trošilo sa pozicija službenih putovanja, stručnog usavršavanja zaposlenika i ostalih naknada troškova zaposlenima.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20.963,40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26.788,81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127,8</w:t>
            </w:r>
          </w:p>
        </w:tc>
      </w:tr>
    </w:tbl>
    <w:p>
      <w:pPr>
        <w:spacing w:before="0" w:after="0"/>
      </w:pPr>
    </w:p>
    <w:p>
      <w:r>
        <w:t xml:space="preserve">Index 127,8-veći rashodi u odnosu na prethodnu godinu. Najveći porast se vidi na rashodima za materijal i dijelove za tekuće i investicijsko održavanje i sitni inventar jer je u ovoj godini bila veća potreba za istim nego u prošloj godini.</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27.892,49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22.075,12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79,1</w:t>
            </w:r>
          </w:p>
        </w:tc>
      </w:tr>
    </w:tbl>
    <w:p>
      <w:pPr>
        <w:spacing w:before="0" w:after="0"/>
      </w:pPr>
    </w:p>
    <w:p>
      <w:r>
        <w:t xml:space="preserve">Index 79,4-index je u padu. Najveće smanjenje  se vidi na rashodima za komunalne usluge jer smo prošle godine imali puknuće vodovodne cijevi, pa su računi za vodu bili veći nego u ovoj godini. Smanjeni su i rashodi za usluge telefona, interneta, pošte  i prijevoza jer smo u prošloj godini imali rashode za usluge prijevoza kojih u ovoj godini nema.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11.088,06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13.158,22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w:t>
            </w:r>
          </w:p>
        </w:tc>
      </w:tr>
    </w:tbl>
    <w:p>
      <w:pPr>
        <w:spacing w:before="0" w:after="0"/>
      </w:pPr>
    </w:p>
    <w:p>
      <w:r>
        <w:t xml:space="preserve">Index 118,7-veći rashodi u odnosu na prethodnu godinu. Rashodi za pristojbe i naknade su povećani u odnosu na prethodnu godinu zbog isplata sudskih pristojbi za odgovor na tužbu u 2025.godini. Rashodi za reprezentaciju i premiju osiguranja imovine su veći u ovom izvještajnom razdoblju zbog rasta cijena roba i usluga u ovoj godini.</w:t>
      </w:r>
    </w:p>
    <w:p>
      <w:r>
        <w:t xml:space="preserve">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w:t>
            </w:r>
          </w:p>
        </w:tc>
      </w:tr>
    </w:tbl>
    <w:p>
      <w:pPr>
        <w:spacing w:before="0" w:after="0"/>
      </w:pPr>
    </w:p>
    <w:p>
      <w:r>
        <w:t xml:space="preserve">Index 36,8- odnose se na rashode za bankarske usluge za otvaranje podračuna za humanitarni koncert koji je organizirala Škola.</w:t>
      </w:r>
    </w:p>
    <w:p>
      <w:r>
        <w:t xml:space="preserve">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1.249,17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1087,1</w:t>
            </w:r>
          </w:p>
        </w:tc>
      </w:tr>
    </w:tbl>
    <w:p>
      <w:pPr>
        <w:spacing w:before="0" w:after="0"/>
      </w:pPr>
    </w:p>
    <w:p>
      <w:r>
        <w:t xml:space="preserve">Uplaćena su sredstva od strane Ministarstva znanosti, obrazovanja i mladih u iznosu 719,17 EUR za sufinanciranje prilagođenog individualnog prijevoza roditelja kao pratitelja dvoje naših učenika i sredstva za sufinanciranje troškova izvanučioničke nastave za učenike raseljene iz Ukrajine u iznosu 530,00 EUR.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94,8</w:t>
            </w:r>
          </w:p>
        </w:tc>
      </w:tr>
    </w:tbl>
    <w:p>
      <w:pPr>
        <w:spacing w:before="0" w:after="0"/>
      </w:pPr>
    </w:p>
    <w:p>
      <w:r>
        <w:t xml:space="preserve">Odnose se na  rashode tekućih donacija u naravi. Od Ministarstva smo dobili sredstva za nabavu zaliha menstrualnih higijenskih potrepština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104.172,23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Iznose 104.172,23 EUR.Prema novom Pravilniku evidentirana su  potraživanja za plaću za 12/25. na 16 i 96 koja će biti zatvorena na dan isplate plaće (plaća za prosinac 2025. koja će biti isplaćena u siječnju 2026.)</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8.798,81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4.053,04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w:t>
            </w:r>
          </w:p>
        </w:tc>
      </w:tr>
    </w:tbl>
    <w:p>
      <w:pPr>
        <w:spacing w:before="0" w:after="0"/>
      </w:pPr>
    </w:p>
    <w:p>
      <w:r>
        <w:t xml:space="preserve">Rashodi za nabavu nefinancijske imovine ostvareni su u iznosu od 4.053,04 EUR. Navedeni rashodi odnose se na nabavu računala, dva klima uređaja, lektira za školsku knjižnicu i udžbenika za učenike iz Ukrajine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106.338,57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2900,7</w:t>
            </w:r>
          </w:p>
        </w:tc>
      </w:tr>
    </w:tbl>
    <w:p>
      <w:pPr>
        <w:spacing w:before="0" w:after="0"/>
      </w:pPr>
    </w:p>
    <w:p>
      <w:r>
        <w:t xml:space="preserve">Ukupni prihodi u ovom izvještajnom razdoblju iznose 1.345.082,03 EUR, a ukupni rashodi  1.451.420,60 EUR. Iskazan je manjak poslovanja u iznosu od 106.338,57 EUR, a odnosi se na metodološki manjak za troškove nastale u prosincu 2025. (trošak plaće za 12/25., trošak naknade za prijevoz za 12/25. i režijski troškovi za 12/25.), a koji će biti plaćeni u siječnju 2026.godine. Prihodi se priznaju u trenutku plaćanja i nisu vidljivi u ovom  razdoblju za koji se radi izvještaj.</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0211 do 0214 - 02921)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208.806,64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202.826,80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97,1</w:t>
            </w:r>
          </w:p>
        </w:tc>
      </w:tr>
    </w:tbl>
    <w:p>
      <w:pPr>
        <w:spacing w:before="0" w:after="0"/>
      </w:pPr>
    </w:p>
    <w:p>
      <w:r>
        <w:t xml:space="preserve">Indeks 97,1. -iskazano je smanjenje zbog povećanja ispravka vrijednosti građevinskih objekata u 2025.godini.</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0221 do 0228 - 02922)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28.891,45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19.161,99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w:t>
            </w:r>
          </w:p>
        </w:tc>
      </w:tr>
    </w:tbl>
    <w:p>
      <w:pPr>
        <w:spacing w:before="0" w:after="0"/>
      </w:pPr>
    </w:p>
    <w:p>
      <w:r>
        <w:t xml:space="preserve">Index 66,3.- iskazano je smanjenje zbog povećanja ispravka vrijednosti postrojenja i opreme u 2025.godini.U 2025.godini nabavili smo jedno novo računalo i dva klima uređaja.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0241 do 0244 - 02924)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36.526,54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37.708,33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103,2</w:t>
            </w:r>
          </w:p>
        </w:tc>
      </w:tr>
    </w:tbl>
    <w:p>
      <w:pPr>
        <w:spacing w:before="0" w:after="0"/>
      </w:pPr>
    </w:p>
    <w:p>
      <w:r>
        <w:t xml:space="preserve">Index 103,2-do porasta dolazi jer su iz Ministarstva doznačena sredstva za nabavu lektire i za nabavu udžbenika za učenike iz Ukrajine.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1757,1</w:t>
            </w:r>
          </w:p>
        </w:tc>
      </w:tr>
    </w:tbl>
    <w:p>
      <w:pPr>
        <w:spacing w:before="0" w:after="0"/>
      </w:pPr>
    </w:p>
    <w:p>
      <w:r>
        <w:t xml:space="preserve">Potraživanja za naknade koje se refundiraju (Bolovanje na teret HZZO-a) su veća u odnosu na prošlu godinu jer je veći iznos bolovanja na teret HZZO-a koji nije refundiran.</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100.881,37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109.005,44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108,1</w:t>
            </w:r>
          </w:p>
        </w:tc>
      </w:tr>
    </w:tbl>
    <w:p>
      <w:pPr>
        <w:spacing w:before="0" w:after="0"/>
      </w:pPr>
    </w:p>
    <w:p>
      <w:r>
        <w:t xml:space="preserve">Iznose 109.005,44 eura (Index 108,7). Obveze se odnose na plaću za prosinac 2025.,naknada za prijevoz djelatnika i režijske troškove za prosinac 2025.godine.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1.634,10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423,1</w:t>
            </w:r>
          </w:p>
        </w:tc>
      </w:tr>
    </w:tbl>
    <w:p>
      <w:pPr>
        <w:spacing w:before="0" w:after="0"/>
      </w:pPr>
    </w:p>
    <w:p>
      <w:r>
        <w:t xml:space="preserve">Iznose 1.634,10 eura, a odnose se na bolovanja preko 42 dana na teret HZZO-a.</w:t>
      </w:r>
    </w:p>
    <w:p>
      <w:r>
        <w:t xml:space="preserve">Novim pravilnikom stanje na dan 31.prosinca 2024. na osnovnim računima 2395 osim 23954 prenosi se u početno stanje 1.siječnja 2025. godine na odgovarajuće novootvorene osnovne račune u okviru skupine 27.Tako su se i obveze proračunskih korisnika za povrat u proračun-bolovanje HZZO u 2024.evidentirale na kontu 23958, a od 1.siječnja 2025. evidentiraju se na kontu 27612.</w:t>
      </w:r>
    </w:p>
    <w:p>
      <w:r>
        <w:t xml:space="preserve">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-105.327,24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-10414,7</w:t>
            </w:r>
          </w:p>
        </w:tc>
      </w:tr>
    </w:tbl>
    <w:p>
      <w:pPr>
        <w:spacing w:before="0" w:after="0"/>
      </w:pPr>
    </w:p>
    <w:p>
      <w:r>
        <w:t xml:space="preserve">Iskazan je manjak prihoda poslovanja u iznosu od 105.327,24 EUR, a odnosi se na metodološki manjak za troškove nastale u prosincu 2025. (trošak plaće za 12/25.,naknada za prijevoz djelatnika  i režijski troškovi za 12/25.), a koji će biti plaćeni u siječnju 2026.godine.</w:t>
      </w:r>
    </w:p>
    <w:p>
      <w:r>
        <w:t xml:space="preserve">Proračunski korisnici u obvezi su iskazati rashode 2025. za obveze koje su nastale u 2025. bez obzira na to jesu li navedene obveze podmirene u 2025. i bez obzira na to je li nadležni proračun doznačio sredstva za podmirenje navedenih obveza u 2025. godini.</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1.269.254,54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1.451.420,60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w:t>
            </w:r>
          </w:p>
        </w:tc>
      </w:tr>
    </w:tbl>
    <w:p>
      <w:pPr>
        <w:spacing w:before="0" w:after="0"/>
      </w:pPr>
    </w:p>
    <w:p>
      <w:r>
        <w:t xml:space="preserve">Po funkcijskoj klasifikaciji Škola pripada više srednjoškolskom obrazovanju, a ukupni rashodi Škole iznose 1.451.420,60 eura. Povećanje rashoda (Index 114,4) u odnosu na 2024.godinu je rezultat povećanja koeficijenata za izračun place, porasta cijena usluga i dobara te ostalih troškova nužnih za redovno poslovanje škole.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18.580,55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Iskazano je smanjenje proizvedene dugotrajne imovine za iznos provedenog ispravka vrijednosti u iznosu 18.580.55 eura. Novim Pravilnikom propisano je da se u obrazac P-VRIO kao smanjenje unosi iznos provedenog ispravka vrijednosti.</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Škola nema dospjelih obveza za ovo izvještajno razdoblje.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1aeb85b478f64a13" /></Relationships>
</file>